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CE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432" w:lineRule="atLeast"/>
        <w:ind w:left="0" w:right="0"/>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有限公司2025年</w:t>
      </w:r>
      <w:r>
        <w:rPr>
          <w:rFonts w:hint="eastAsia" w:cstheme="minorBidi"/>
          <w:b w:val="0"/>
          <w:bCs w:val="0"/>
          <w:kern w:val="2"/>
          <w:sz w:val="32"/>
          <w:szCs w:val="32"/>
          <w:lang w:val="en-US" w:eastAsia="zh-CN" w:bidi="ar-SA"/>
        </w:rPr>
        <w:t>3</w:t>
      </w:r>
      <w:r>
        <w:rPr>
          <w:rFonts w:hint="eastAsia" w:ascii="宋体" w:hAnsi="宋体" w:eastAsia="宋体" w:cstheme="minorBidi"/>
          <w:b w:val="0"/>
          <w:bCs w:val="0"/>
          <w:kern w:val="2"/>
          <w:sz w:val="32"/>
          <w:szCs w:val="32"/>
          <w:lang w:val="en-US" w:eastAsia="zh-CN" w:bidi="ar-SA"/>
        </w:rPr>
        <w:t>季度固体废物污染环境防治信息公示</w:t>
      </w:r>
    </w:p>
    <w:p w14:paraId="22000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根据《中华人民共和国固体废物污染环境防治法》的有关规定，现将赤峰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有限公司2025年3季度固体废物污染环境防治信息发布如下：</w:t>
      </w:r>
    </w:p>
    <w:p w14:paraId="5D848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一、综述</w:t>
      </w:r>
    </w:p>
    <w:p w14:paraId="5C3644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认真贯彻《中华人民共和国固体废物污染环境防治法》，持续强化固体废物污染防治管理，科学推进固体废物减量化、资源化、无害化处理，全面提升固体废物处理能力，积极规范化管理固体废物，严格遵守固体废物环境法律法规，切实防控固体废物环境风险。</w:t>
      </w:r>
    </w:p>
    <w:p w14:paraId="53B9E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二、固体废物污染防治情况</w:t>
      </w:r>
    </w:p>
    <w:p w14:paraId="2AD06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w:t>
      </w:r>
      <w:r>
        <w:rPr>
          <w:rFonts w:hint="eastAsia" w:ascii="宋体" w:hAnsi="宋体" w:eastAsia="宋体" w:cstheme="minorBidi"/>
          <w:b w:val="0"/>
          <w:bCs w:val="0"/>
          <w:kern w:val="2"/>
          <w:sz w:val="32"/>
          <w:szCs w:val="32"/>
          <w:lang w:val="en-US" w:eastAsia="zh-CN" w:bidi="ar-SA"/>
        </w:rPr>
        <w:t>危险废物接收处置利用情况</w:t>
      </w:r>
    </w:p>
    <w:p w14:paraId="63410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2025年3季度</w:t>
      </w:r>
      <w:r>
        <w:rPr>
          <w:rFonts w:hint="eastAsia" w:ascii="宋体" w:hAnsi="宋体" w:eastAsia="宋体" w:cstheme="minorBidi"/>
          <w:b w:val="0"/>
          <w:bCs w:val="0"/>
          <w:kern w:val="2"/>
          <w:sz w:val="32"/>
          <w:szCs w:val="32"/>
          <w:lang w:val="en-US" w:eastAsia="zh-CN" w:bidi="ar-SA"/>
        </w:rPr>
        <w:t>赤峰金帆接收危险</w:t>
      </w:r>
      <w:r>
        <w:rPr>
          <w:rFonts w:hint="eastAsia" w:ascii="宋体" w:hAnsi="宋体" w:eastAsia="宋体" w:cstheme="minorBidi"/>
          <w:b w:val="0"/>
          <w:bCs w:val="0"/>
          <w:kern w:val="2"/>
          <w:sz w:val="32"/>
          <w:szCs w:val="32"/>
          <w:lang w:val="en-US" w:eastAsia="zh-CN" w:bidi="ar-SA"/>
        </w:rPr>
        <w:t>废物量</w:t>
      </w:r>
      <w:r>
        <w:rPr>
          <w:rFonts w:hint="eastAsia" w:ascii="宋体" w:hAnsi="宋体" w:eastAsia="宋体" w:cstheme="minorBidi"/>
          <w:b w:val="0"/>
          <w:bCs w:val="0"/>
          <w:kern w:val="2"/>
          <w:sz w:val="32"/>
          <w:szCs w:val="32"/>
          <w:lang w:val="en-US" w:eastAsia="zh-CN" w:bidi="ar-SA"/>
        </w:rPr>
        <w:t>合计11277.26486</w:t>
      </w:r>
      <w:r>
        <w:rPr>
          <w:rFonts w:hint="eastAsia" w:ascii="宋体" w:hAnsi="宋体" w:eastAsia="宋体" w:cstheme="minorBidi"/>
          <w:b w:val="0"/>
          <w:bCs w:val="0"/>
          <w:kern w:val="2"/>
          <w:sz w:val="32"/>
          <w:szCs w:val="32"/>
          <w:lang w:val="en-US" w:eastAsia="zh-CN" w:bidi="ar-SA"/>
        </w:rPr>
        <w:t>吨，处置利用量10947.89686</w:t>
      </w:r>
      <w:r>
        <w:rPr>
          <w:rFonts w:hint="eastAsia" w:ascii="宋体" w:hAnsi="宋体" w:eastAsia="宋体" w:cstheme="minorBidi"/>
          <w:b w:val="0"/>
          <w:bCs w:val="0"/>
          <w:kern w:val="2"/>
          <w:sz w:val="32"/>
          <w:szCs w:val="32"/>
          <w:lang w:val="en-US" w:eastAsia="zh-CN" w:bidi="ar-SA"/>
        </w:rPr>
        <w:t>吨，贮存量7965.0927</w:t>
      </w:r>
      <w:r>
        <w:rPr>
          <w:rFonts w:hint="eastAsia" w:ascii="宋体" w:hAnsi="宋体" w:eastAsia="宋体" w:cstheme="minorBidi"/>
          <w:b w:val="0"/>
          <w:bCs w:val="0"/>
          <w:kern w:val="2"/>
          <w:sz w:val="32"/>
          <w:szCs w:val="32"/>
          <w:lang w:val="en-US" w:eastAsia="zh-CN" w:bidi="ar-SA"/>
        </w:rPr>
        <w:t>吨。</w:t>
      </w:r>
    </w:p>
    <w:p w14:paraId="72369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p>
    <w:p w14:paraId="56C7209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危险废物污染防治设施</w:t>
      </w:r>
    </w:p>
    <w:tbl>
      <w:tblPr>
        <w:tblStyle w:val="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36"/>
        <w:gridCol w:w="4138"/>
        <w:gridCol w:w="2776"/>
        <w:gridCol w:w="536"/>
      </w:tblGrid>
      <w:tr w14:paraId="0CC13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C15F4C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类别</w:t>
            </w:r>
          </w:p>
        </w:tc>
        <w:tc>
          <w:tcPr>
            <w:tcW w:w="2941" w:type="pct"/>
            <w:noWrap w:val="0"/>
            <w:vAlign w:val="center"/>
          </w:tcPr>
          <w:p w14:paraId="4A5C1A5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技术指南</w:t>
            </w:r>
          </w:p>
        </w:tc>
        <w:tc>
          <w:tcPr>
            <w:tcW w:w="1096" w:type="pct"/>
            <w:noWrap w:val="0"/>
            <w:vAlign w:val="center"/>
          </w:tcPr>
          <w:p w14:paraId="55BA86B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本项目</w:t>
            </w:r>
          </w:p>
        </w:tc>
        <w:tc>
          <w:tcPr>
            <w:tcW w:w="327" w:type="pct"/>
            <w:noWrap w:val="0"/>
            <w:vAlign w:val="center"/>
          </w:tcPr>
          <w:p w14:paraId="63DA158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符合性</w:t>
            </w:r>
          </w:p>
        </w:tc>
      </w:tr>
      <w:tr w14:paraId="17BBD6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115DA5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破碎分选技术</w:t>
            </w:r>
          </w:p>
        </w:tc>
        <w:tc>
          <w:tcPr>
            <w:tcW w:w="2941" w:type="pct"/>
            <w:noWrap w:val="0"/>
            <w:vAlign w:val="center"/>
          </w:tcPr>
          <w:p w14:paraId="740769B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分为全自动破碎分选技术和机械破碎分选技术。</w:t>
            </w:r>
          </w:p>
        </w:tc>
        <w:tc>
          <w:tcPr>
            <w:tcW w:w="1096" w:type="pct"/>
            <w:noWrap w:val="0"/>
            <w:vAlign w:val="center"/>
          </w:tcPr>
          <w:p w14:paraId="0C3895D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采用全自动破碎分选技术</w:t>
            </w:r>
          </w:p>
        </w:tc>
        <w:tc>
          <w:tcPr>
            <w:tcW w:w="327" w:type="pct"/>
            <w:noWrap w:val="0"/>
            <w:vAlign w:val="center"/>
          </w:tcPr>
          <w:p w14:paraId="5DEC96E7">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1085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0BF5F60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火法冶炼</w:t>
            </w:r>
          </w:p>
        </w:tc>
        <w:tc>
          <w:tcPr>
            <w:tcW w:w="2941" w:type="pct"/>
            <w:noWrap w:val="0"/>
            <w:vAlign w:val="center"/>
          </w:tcPr>
          <w:p w14:paraId="23205A8B">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分为反射炉熔炼技术、竖炉熔炼技术、短窑熔炼技术、富氧底吹熔炼技术、板栅低温熔炼技术</w:t>
            </w:r>
          </w:p>
        </w:tc>
        <w:tc>
          <w:tcPr>
            <w:tcW w:w="1096" w:type="pct"/>
            <w:noWrap w:val="0"/>
            <w:vAlign w:val="center"/>
          </w:tcPr>
          <w:p w14:paraId="4A6E894B">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采用、短窑熔炼技术、富氧底吹熔炼技术、板栅低温熔炼技术</w:t>
            </w:r>
          </w:p>
        </w:tc>
        <w:tc>
          <w:tcPr>
            <w:tcW w:w="327" w:type="pct"/>
            <w:noWrap w:val="0"/>
            <w:vAlign w:val="center"/>
          </w:tcPr>
          <w:p w14:paraId="23732B1A">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25995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7EBC19F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粗铅精炼</w:t>
            </w:r>
          </w:p>
        </w:tc>
        <w:tc>
          <w:tcPr>
            <w:tcW w:w="2941" w:type="pct"/>
            <w:noWrap w:val="0"/>
            <w:vAlign w:val="center"/>
          </w:tcPr>
          <w:p w14:paraId="3D49B4A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分为火法精炼技术、电解精炼技术、碱性精炼技术</w:t>
            </w:r>
          </w:p>
        </w:tc>
        <w:tc>
          <w:tcPr>
            <w:tcW w:w="1096" w:type="pct"/>
            <w:noWrap w:val="0"/>
            <w:vAlign w:val="center"/>
          </w:tcPr>
          <w:p w14:paraId="690B98B8">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本项目采用火法精炼技术、电解精炼技术</w:t>
            </w:r>
          </w:p>
        </w:tc>
        <w:tc>
          <w:tcPr>
            <w:tcW w:w="327" w:type="pct"/>
            <w:noWrap w:val="0"/>
            <w:vAlign w:val="center"/>
          </w:tcPr>
          <w:p w14:paraId="4D09706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818E5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75A942A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大气污染治理技术</w:t>
            </w:r>
          </w:p>
        </w:tc>
        <w:tc>
          <w:tcPr>
            <w:tcW w:w="273" w:type="pct"/>
            <w:noWrap w:val="0"/>
            <w:vAlign w:val="center"/>
          </w:tcPr>
          <w:p w14:paraId="7EC3D0A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烟气</w:t>
            </w:r>
          </w:p>
          <w:p w14:paraId="4B28885B">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除尘</w:t>
            </w:r>
          </w:p>
        </w:tc>
        <w:tc>
          <w:tcPr>
            <w:tcW w:w="2941" w:type="pct"/>
            <w:noWrap w:val="0"/>
            <w:vAlign w:val="center"/>
          </w:tcPr>
          <w:p w14:paraId="7ED24E6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旋风除尘技术：该技术设备结构简单，造价低，操作管理方便，维修工作量小。动力消耗主要来自设备阻力消耗，除尘效率约70%。对10μm以上的粗粒烟尘有较高的除尘效率，可用于高温（450℃）、高含尘量（400~1000g/m</w:t>
            </w:r>
            <w:r>
              <w:rPr>
                <w:rFonts w:hint="eastAsia" w:ascii="宋体" w:hAnsi="宋体" w:eastAsia="宋体" w:cstheme="minorBidi"/>
                <w:b w:val="0"/>
                <w:bCs w:val="0"/>
                <w:kern w:val="2"/>
                <w:sz w:val="32"/>
                <w:szCs w:val="32"/>
                <w:lang w:val="en-US" w:eastAsia="zh-CN" w:bidi="ar-SA"/>
              </w:rPr>
              <w:t>3</w:t>
            </w:r>
            <w:r>
              <w:rPr>
                <w:rFonts w:hint="eastAsia" w:ascii="宋体" w:hAnsi="宋体" w:eastAsia="宋体" w:cstheme="minorBidi"/>
                <w:b w:val="0"/>
                <w:bCs w:val="0"/>
                <w:kern w:val="2"/>
                <w:sz w:val="32"/>
                <w:szCs w:val="32"/>
                <w:lang w:val="en-US" w:eastAsia="zh-CN" w:bidi="ar-SA"/>
              </w:rPr>
              <w:t>）的烟气。</w:t>
            </w:r>
          </w:p>
          <w:p w14:paraId="33FCD650">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湿法除尘技术：该技术是利用液滴或液膜粘附烟尘净化烟气的技术，包括动力波除尘技术水膜除尘技术、文丘里除尘技术、冲击式除尘技术等。该技术操作简单、运行稳定、维修费用小，可适应烟气量变化较大的工况但从湿式除尘器中排出的泥浆需进行处理，否则会造成二次污染。</w:t>
            </w:r>
          </w:p>
          <w:p w14:paraId="7C9FA5C3">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袋式除尘技术：该技术是利用纤维织物的过滤作用对含尘气体进行净化的技术。该技术除尘效率大于99.5%，适用范围广。但对烟气温度、湿度、腐蚀性等要求高，系统阻力大，运行维护费用高。该技术适用于熔炼及精炼工序的烟气除尘，也适用于通风除尘系统及排烟系统废气净化。</w:t>
            </w:r>
          </w:p>
          <w:p w14:paraId="707E9C5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电除尘技术：该技术除尘效率在 99.0%~99.8%，阻力小、能耗低、处理烟气量大。但初期投资成本高、占地面积大，对制造、安装、运行等的要求比较高。</w:t>
            </w:r>
          </w:p>
          <w:p w14:paraId="28834805">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电-袋复合除尘技术：该技术集合电除尘器和布袋除尘器各自的除尘优势，具有结构紧凑、清灰周期长，滤袋使用寿命长、运行长期可靠、稳定，维护费用低等节能和高可靠性特点，除尘效率可达99.9%。但一次性投资高。</w:t>
            </w:r>
          </w:p>
        </w:tc>
        <w:tc>
          <w:tcPr>
            <w:tcW w:w="1096" w:type="pct"/>
            <w:noWrap w:val="0"/>
            <w:vAlign w:val="center"/>
          </w:tcPr>
          <w:p w14:paraId="30A2E63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采用袋式除尘技术</w:t>
            </w:r>
          </w:p>
        </w:tc>
        <w:tc>
          <w:tcPr>
            <w:tcW w:w="327" w:type="pct"/>
            <w:noWrap w:val="0"/>
            <w:vAlign w:val="center"/>
          </w:tcPr>
          <w:p w14:paraId="6B23F17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D154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76639719">
            <w:pPr>
              <w:adjustRightInd w:val="0"/>
              <w:spacing w:line="300" w:lineRule="exact"/>
              <w:jc w:val="center"/>
              <w:rPr>
                <w:rFonts w:hint="eastAsia" w:ascii="宋体" w:hAnsi="宋体" w:eastAsia="宋体" w:cstheme="minorBidi"/>
                <w:b w:val="0"/>
                <w:bCs w:val="0"/>
                <w:kern w:val="2"/>
                <w:sz w:val="32"/>
                <w:szCs w:val="32"/>
                <w:lang w:val="en-US" w:eastAsia="zh-CN" w:bidi="ar-SA"/>
              </w:rPr>
            </w:pPr>
          </w:p>
        </w:tc>
        <w:tc>
          <w:tcPr>
            <w:tcW w:w="273" w:type="pct"/>
            <w:noWrap w:val="0"/>
            <w:vAlign w:val="center"/>
          </w:tcPr>
          <w:p w14:paraId="232748E0">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烟气</w:t>
            </w:r>
          </w:p>
          <w:p w14:paraId="50D327FD">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脱硫</w:t>
            </w:r>
          </w:p>
        </w:tc>
        <w:tc>
          <w:tcPr>
            <w:tcW w:w="2941" w:type="pct"/>
            <w:noWrap w:val="0"/>
            <w:vAlign w:val="center"/>
          </w:tcPr>
          <w:p w14:paraId="0F259AA1">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石灰/石灰石脱硫技术：该技术是以石灰或石灰石为吸收剂，采用直接喷射法、湿法、石灰-亚硫酸钙法或喷射干燥法去除烟气中的二氧化硫的技术。该技术脱硫效率较高，石灰/石灰石来源广且成本低，还可部分去除烟气中的三氧化硫、重金属离子、氟离子、氯离子等。但吸收剂消耗大，副产物不易利用，存在潜在二次污染。该技术适用于脱硫铅膏熔炼二氧化硫烟气的治理。</w:t>
            </w:r>
          </w:p>
          <w:p w14:paraId="45813A0E">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钠碱法脱硫技术：该技术是以氢氧化钠或碳酸钠为烟气脱硫剂，通过循环吸收烟气中的二氧化硫，产生高浓度亚硫酸钠溶液，经氧化或直接脱除重金属后回收硫酸钠或亚硫酸钠副产品的技术。该技术脱硫效率大于99.5%，运行可靠，可实现副产品的回收利用。但投资较高。</w:t>
            </w:r>
          </w:p>
          <w:p w14:paraId="40150DA7">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柠檬酸钠法脱硫技术：该技术二氧化硫吸收率在 99％以上，回收的二氧化硫产品纯度高。但吸收剂浓度、pH值、液气比、温度等参数对系统脱硫效率影响明显。该技术适用于脱硫铅膏熔炼二氧化硫烟气的治理。</w:t>
            </w:r>
          </w:p>
        </w:tc>
        <w:tc>
          <w:tcPr>
            <w:tcW w:w="1096" w:type="pct"/>
            <w:noWrap w:val="0"/>
            <w:vAlign w:val="center"/>
          </w:tcPr>
          <w:p w14:paraId="496BBFD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采用钠碱法+两级石灰-石膏法脱硫技术</w:t>
            </w:r>
          </w:p>
        </w:tc>
        <w:tc>
          <w:tcPr>
            <w:tcW w:w="327" w:type="pct"/>
            <w:noWrap w:val="0"/>
            <w:vAlign w:val="center"/>
          </w:tcPr>
          <w:p w14:paraId="328436E5">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49C2FF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5A9E071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废水治理技术</w:t>
            </w:r>
          </w:p>
        </w:tc>
        <w:tc>
          <w:tcPr>
            <w:tcW w:w="2941" w:type="pct"/>
            <w:noWrap w:val="0"/>
            <w:vAlign w:val="center"/>
          </w:tcPr>
          <w:p w14:paraId="55371A3E">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分为石灰中和法、硫化-石灰中和法、离子交换法、螯合沉淀法、吸附法、膜分离法、絮凝沉淀法</w:t>
            </w:r>
          </w:p>
        </w:tc>
        <w:tc>
          <w:tcPr>
            <w:tcW w:w="1096" w:type="pct"/>
            <w:noWrap w:val="0"/>
            <w:vAlign w:val="center"/>
          </w:tcPr>
          <w:p w14:paraId="05193C8F">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采用石灰中和法</w:t>
            </w:r>
          </w:p>
        </w:tc>
        <w:tc>
          <w:tcPr>
            <w:tcW w:w="327" w:type="pct"/>
            <w:noWrap w:val="0"/>
            <w:vAlign w:val="center"/>
          </w:tcPr>
          <w:p w14:paraId="1F52398E">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048D4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0F4CDB66">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余热利用技术</w:t>
            </w:r>
          </w:p>
        </w:tc>
        <w:tc>
          <w:tcPr>
            <w:tcW w:w="2941" w:type="pct"/>
            <w:noWrap w:val="0"/>
            <w:vAlign w:val="center"/>
          </w:tcPr>
          <w:p w14:paraId="5AE269FF">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该技术是通过对水冷壁和对流管束热交换回收烟气热量使烟气降温，提高后续除尘设施的除尘效率，同时将余热加以利用的能源回收利用技术。该技术能有效降低烟气温度，回收烟气余热，利于烟气除尘，提高热利用效率，同时能有效控制炉窑烟尘率。该技术适用于再生铅熔炼工序的余热利用。</w:t>
            </w:r>
          </w:p>
        </w:tc>
        <w:tc>
          <w:tcPr>
            <w:tcW w:w="1096" w:type="pct"/>
            <w:noWrap w:val="0"/>
            <w:vAlign w:val="center"/>
          </w:tcPr>
          <w:p w14:paraId="196881C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富氧侧吹熔炼炉炉顶上方新建余热锅炉</w:t>
            </w:r>
          </w:p>
        </w:tc>
        <w:tc>
          <w:tcPr>
            <w:tcW w:w="327" w:type="pct"/>
            <w:noWrap w:val="0"/>
            <w:vAlign w:val="center"/>
          </w:tcPr>
          <w:p w14:paraId="4E5231C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40C89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vMerge w:val="restart"/>
            <w:noWrap w:val="0"/>
            <w:vAlign w:val="center"/>
          </w:tcPr>
          <w:p w14:paraId="3CE706AC">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一般固体废物综合利用及处理处置技术</w:t>
            </w:r>
          </w:p>
        </w:tc>
        <w:tc>
          <w:tcPr>
            <w:tcW w:w="2941" w:type="pct"/>
            <w:noWrap w:val="0"/>
            <w:vAlign w:val="center"/>
          </w:tcPr>
          <w:p w14:paraId="7ABBEDBD">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预处理过程中分选出的废塑料应经过彻底清洗，在满足《废塑料回收与再生利用污染控制技术规范》（HJ/T364）的要求后方可再生使用。</w:t>
            </w:r>
          </w:p>
        </w:tc>
        <w:tc>
          <w:tcPr>
            <w:tcW w:w="1096" w:type="pct"/>
            <w:noWrap w:val="0"/>
            <w:vAlign w:val="center"/>
          </w:tcPr>
          <w:p w14:paraId="619868C9">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副产物再生塑料执行《废塑料回收与再生利用污染控制技术规范（试行）》（HJ/T364-2007）</w:t>
            </w:r>
          </w:p>
        </w:tc>
        <w:tc>
          <w:tcPr>
            <w:tcW w:w="327" w:type="pct"/>
            <w:noWrap w:val="0"/>
            <w:vAlign w:val="center"/>
          </w:tcPr>
          <w:p w14:paraId="70914E23">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173AC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vMerge w:val="continue"/>
            <w:noWrap w:val="0"/>
            <w:vAlign w:val="center"/>
          </w:tcPr>
          <w:p w14:paraId="1DDBD0E2">
            <w:pPr>
              <w:adjustRightInd w:val="0"/>
              <w:spacing w:line="300" w:lineRule="exact"/>
              <w:jc w:val="center"/>
              <w:rPr>
                <w:rFonts w:hint="eastAsia" w:ascii="宋体" w:hAnsi="宋体" w:eastAsia="宋体" w:cstheme="minorBidi"/>
                <w:b w:val="0"/>
                <w:bCs w:val="0"/>
                <w:kern w:val="2"/>
                <w:sz w:val="32"/>
                <w:szCs w:val="32"/>
                <w:lang w:val="en-US" w:eastAsia="zh-CN" w:bidi="ar-SA"/>
              </w:rPr>
            </w:pPr>
          </w:p>
        </w:tc>
        <w:tc>
          <w:tcPr>
            <w:tcW w:w="2941" w:type="pct"/>
            <w:noWrap w:val="0"/>
            <w:vAlign w:val="center"/>
          </w:tcPr>
          <w:p w14:paraId="16F1DBC2">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冶炼水淬渣（渣中含铅量小于 2%），应按国家相关管理规定对其进行妥善贮存、综合利用。</w:t>
            </w:r>
          </w:p>
        </w:tc>
        <w:tc>
          <w:tcPr>
            <w:tcW w:w="1096" w:type="pct"/>
            <w:noWrap w:val="0"/>
            <w:vAlign w:val="center"/>
          </w:tcPr>
          <w:p w14:paraId="4F8F920D">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外售给</w:t>
            </w:r>
            <w:r>
              <w:rPr>
                <w:rFonts w:hint="eastAsia" w:ascii="宋体" w:hAnsi="宋体" w:eastAsia="宋体" w:cstheme="minorBidi"/>
                <w:b w:val="0"/>
                <w:bCs w:val="0"/>
                <w:kern w:val="2"/>
                <w:sz w:val="32"/>
                <w:szCs w:val="32"/>
                <w:lang w:val="en-US" w:eastAsia="zh-CN" w:bidi="ar-SA"/>
              </w:rPr>
              <w:t>赤峰鲁蒙特种水泥有限公司</w:t>
            </w:r>
            <w:r>
              <w:rPr>
                <w:rFonts w:hint="eastAsia" w:ascii="宋体" w:hAnsi="宋体" w:eastAsia="宋体" w:cstheme="minorBidi"/>
                <w:b w:val="0"/>
                <w:bCs w:val="0"/>
                <w:kern w:val="2"/>
                <w:sz w:val="32"/>
                <w:szCs w:val="32"/>
                <w:lang w:val="en-US" w:eastAsia="zh-CN" w:bidi="ar-SA"/>
              </w:rPr>
              <w:t>作为原料</w:t>
            </w:r>
          </w:p>
        </w:tc>
        <w:tc>
          <w:tcPr>
            <w:tcW w:w="327" w:type="pct"/>
            <w:noWrap w:val="0"/>
            <w:vAlign w:val="center"/>
          </w:tcPr>
          <w:p w14:paraId="2F5601B4">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r w14:paraId="1F915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gridSpan w:val="2"/>
            <w:noWrap w:val="0"/>
            <w:vAlign w:val="center"/>
          </w:tcPr>
          <w:p w14:paraId="3BE264C2">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危险废物综合利用及处理处置技术</w:t>
            </w:r>
          </w:p>
        </w:tc>
        <w:tc>
          <w:tcPr>
            <w:tcW w:w="2941" w:type="pct"/>
            <w:noWrap w:val="0"/>
            <w:vAlign w:val="center"/>
          </w:tcPr>
          <w:p w14:paraId="6816E346">
            <w:pPr>
              <w:adjustRightInd w:val="0"/>
              <w:spacing w:line="300" w:lineRule="exac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有金属回收利用价值的危险废物，应首先考虑综合回收利用；冶炼浮渣、脱铜渣、布袋除尘器收集的烟尘属于危险废物，但有综合利用价值，可以返回熔炼过程重新熔炼，回收其中的铅；无金属回收利用价值的危险固体废物，应按国家相关管理规定进行无害化处理。</w:t>
            </w:r>
          </w:p>
        </w:tc>
        <w:tc>
          <w:tcPr>
            <w:tcW w:w="1096" w:type="pct"/>
            <w:noWrap w:val="0"/>
            <w:vAlign w:val="center"/>
          </w:tcPr>
          <w:p w14:paraId="0994A0D8">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精炼渣、除铜渣、布袋除尘器收尘、熔炼渣等送入富氧侧吹炉进行熔炼回收</w:t>
            </w:r>
          </w:p>
        </w:tc>
        <w:tc>
          <w:tcPr>
            <w:tcW w:w="327" w:type="pct"/>
            <w:noWrap w:val="0"/>
            <w:vAlign w:val="center"/>
          </w:tcPr>
          <w:p w14:paraId="22065174">
            <w:pPr>
              <w:adjustRightInd w:val="0"/>
              <w:spacing w:line="300" w:lineRule="exact"/>
              <w:jc w:val="center"/>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符合</w:t>
            </w:r>
          </w:p>
        </w:tc>
      </w:tr>
    </w:tbl>
    <w:p w14:paraId="3F5DF0AA">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eastAsia" w:ascii="宋体" w:hAnsi="宋体" w:eastAsia="宋体" w:cstheme="minorBidi"/>
          <w:b w:val="0"/>
          <w:bCs w:val="0"/>
          <w:kern w:val="2"/>
          <w:sz w:val="32"/>
          <w:szCs w:val="32"/>
          <w:lang w:val="en-US" w:eastAsia="zh-CN" w:bidi="ar-SA"/>
        </w:rPr>
      </w:pPr>
    </w:p>
    <w:p w14:paraId="58649D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三、应急预案制定情况</w:t>
      </w:r>
    </w:p>
    <w:p w14:paraId="07D6D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赤峰金帆再生资源开发有限公司</w:t>
      </w:r>
      <w:r>
        <w:rPr>
          <w:rFonts w:hint="eastAsia" w:ascii="宋体" w:hAnsi="宋体" w:eastAsia="宋体" w:cstheme="minorBidi"/>
          <w:b w:val="0"/>
          <w:bCs w:val="0"/>
          <w:kern w:val="2"/>
          <w:sz w:val="32"/>
          <w:szCs w:val="32"/>
          <w:lang w:val="en-US" w:eastAsia="zh-CN" w:bidi="ar-SA"/>
        </w:rPr>
        <w:t>制定了</w:t>
      </w:r>
      <w:r>
        <w:rPr>
          <w:rFonts w:hint="eastAsia" w:ascii="宋体" w:hAnsi="宋体" w:eastAsia="宋体" w:cstheme="minorBidi"/>
          <w:b w:val="0"/>
          <w:bCs w:val="0"/>
          <w:kern w:val="2"/>
          <w:sz w:val="32"/>
          <w:szCs w:val="32"/>
          <w:lang w:val="en-US" w:eastAsia="zh-CN" w:bidi="ar-SA"/>
        </w:rPr>
        <w:t>突发环境事件</w:t>
      </w:r>
      <w:r>
        <w:rPr>
          <w:rFonts w:hint="eastAsia" w:ascii="宋体" w:hAnsi="宋体" w:eastAsia="宋体" w:cstheme="minorBidi"/>
          <w:b w:val="0"/>
          <w:bCs w:val="0"/>
          <w:kern w:val="2"/>
          <w:sz w:val="32"/>
          <w:szCs w:val="32"/>
          <w:lang w:val="en-US" w:eastAsia="zh-CN" w:bidi="ar-SA"/>
        </w:rPr>
        <w:t>应急预案，已向赤峰市生态环境局</w:t>
      </w:r>
      <w:r>
        <w:rPr>
          <w:rFonts w:hint="eastAsia" w:ascii="宋体" w:hAnsi="宋体" w:eastAsia="宋体" w:cstheme="minorBidi"/>
          <w:b w:val="0"/>
          <w:bCs w:val="0"/>
          <w:kern w:val="2"/>
          <w:sz w:val="32"/>
          <w:szCs w:val="32"/>
          <w:lang w:val="en-US" w:eastAsia="zh-CN" w:bidi="ar-SA"/>
        </w:rPr>
        <w:t>巴林左旗</w:t>
      </w:r>
      <w:r>
        <w:rPr>
          <w:rFonts w:hint="eastAsia" w:ascii="宋体" w:hAnsi="宋体" w:eastAsia="宋体" w:cstheme="minorBidi"/>
          <w:b w:val="0"/>
          <w:bCs w:val="0"/>
          <w:kern w:val="2"/>
          <w:sz w:val="32"/>
          <w:szCs w:val="32"/>
          <w:lang w:val="en-US" w:eastAsia="zh-CN" w:bidi="ar-SA"/>
        </w:rPr>
        <w:t>分局</w:t>
      </w:r>
      <w:r>
        <w:rPr>
          <w:rFonts w:hint="eastAsia" w:ascii="宋体" w:hAnsi="宋体" w:eastAsia="宋体" w:cstheme="minorBidi"/>
          <w:b w:val="0"/>
          <w:bCs w:val="0"/>
          <w:kern w:val="2"/>
          <w:sz w:val="32"/>
          <w:szCs w:val="32"/>
          <w:lang w:val="en-US" w:eastAsia="zh-CN" w:bidi="ar-SA"/>
        </w:rPr>
        <w:t>备案</w:t>
      </w:r>
      <w:r>
        <w:rPr>
          <w:rFonts w:hint="eastAsia" w:ascii="宋体" w:hAnsi="宋体" w:eastAsia="宋体" w:cstheme="minorBidi"/>
          <w:b w:val="0"/>
          <w:bCs w:val="0"/>
          <w:kern w:val="2"/>
          <w:sz w:val="32"/>
          <w:szCs w:val="32"/>
          <w:lang w:val="en-US" w:eastAsia="zh-CN" w:bidi="ar-SA"/>
        </w:rPr>
        <w:t>（备案编号：1504</w:t>
      </w:r>
      <w:r>
        <w:rPr>
          <w:rFonts w:hint="eastAsia" w:ascii="宋体" w:hAnsi="宋体" w:eastAsia="宋体" w:cstheme="minorBidi"/>
          <w:b w:val="0"/>
          <w:bCs w:val="0"/>
          <w:kern w:val="2"/>
          <w:sz w:val="32"/>
          <w:szCs w:val="32"/>
          <w:lang w:val="en-US" w:eastAsia="zh-CN" w:bidi="ar-SA"/>
        </w:rPr>
        <w:t>22</w:t>
      </w:r>
      <w:r>
        <w:rPr>
          <w:rFonts w:hint="eastAsia" w:ascii="宋体" w:hAnsi="宋体" w:eastAsia="宋体" w:cstheme="minorBidi"/>
          <w:b w:val="0"/>
          <w:bCs w:val="0"/>
          <w:kern w:val="2"/>
          <w:sz w:val="32"/>
          <w:szCs w:val="32"/>
          <w:lang w:val="en-US" w:eastAsia="zh-CN" w:bidi="ar-SA"/>
        </w:rPr>
        <w:t>-202</w:t>
      </w:r>
      <w:r>
        <w:rPr>
          <w:rFonts w:hint="eastAsia" w:ascii="宋体" w:hAnsi="宋体" w:eastAsia="宋体" w:cstheme="minorBidi"/>
          <w:b w:val="0"/>
          <w:bCs w:val="0"/>
          <w:kern w:val="2"/>
          <w:sz w:val="32"/>
          <w:szCs w:val="32"/>
          <w:lang w:val="en-US" w:eastAsia="zh-CN" w:bidi="ar-SA"/>
        </w:rPr>
        <w:t>3</w:t>
      </w:r>
      <w:r>
        <w:rPr>
          <w:rFonts w:hint="eastAsia" w:ascii="宋体" w:hAnsi="宋体" w:eastAsia="宋体" w:cstheme="minorBidi"/>
          <w:b w:val="0"/>
          <w:bCs w:val="0"/>
          <w:kern w:val="2"/>
          <w:sz w:val="32"/>
          <w:szCs w:val="32"/>
          <w:lang w:val="en-US" w:eastAsia="zh-CN" w:bidi="ar-SA"/>
        </w:rPr>
        <w:t>-</w:t>
      </w:r>
      <w:r>
        <w:rPr>
          <w:rFonts w:hint="eastAsia" w:ascii="宋体" w:hAnsi="宋体" w:eastAsia="宋体" w:cstheme="minorBidi"/>
          <w:b w:val="0"/>
          <w:bCs w:val="0"/>
          <w:kern w:val="2"/>
          <w:sz w:val="32"/>
          <w:szCs w:val="32"/>
          <w:lang w:val="en-US" w:eastAsia="zh-CN" w:bidi="ar-SA"/>
        </w:rPr>
        <w:t>004</w:t>
      </w:r>
      <w:r>
        <w:rPr>
          <w:rFonts w:hint="eastAsia" w:ascii="宋体" w:hAnsi="宋体" w:eastAsia="宋体" w:cstheme="minorBidi"/>
          <w:b w:val="0"/>
          <w:bCs w:val="0"/>
          <w:kern w:val="2"/>
          <w:sz w:val="32"/>
          <w:szCs w:val="32"/>
          <w:lang w:val="en-US" w:eastAsia="zh-CN" w:bidi="ar-SA"/>
        </w:rPr>
        <w:t>-</w:t>
      </w:r>
      <w:r>
        <w:rPr>
          <w:rFonts w:hint="eastAsia" w:ascii="宋体" w:hAnsi="宋体" w:eastAsia="宋体" w:cstheme="minorBidi"/>
          <w:b w:val="0"/>
          <w:bCs w:val="0"/>
          <w:kern w:val="2"/>
          <w:sz w:val="32"/>
          <w:szCs w:val="32"/>
          <w:lang w:val="en-US" w:eastAsia="zh-CN" w:bidi="ar-SA"/>
        </w:rPr>
        <w:t>M</w:t>
      </w:r>
      <w:r>
        <w:rPr>
          <w:rFonts w:hint="eastAsia" w:ascii="宋体" w:hAnsi="宋体" w:eastAsia="宋体" w:cstheme="minorBidi"/>
          <w:b w:val="0"/>
          <w:bCs w:val="0"/>
          <w:kern w:val="2"/>
          <w:sz w:val="32"/>
          <w:szCs w:val="32"/>
          <w:lang w:val="en-US" w:eastAsia="zh-CN" w:bidi="ar-SA"/>
        </w:rPr>
        <w:t>）公司每年按照计划组织开展应急预案演练。</w:t>
      </w:r>
    </w:p>
    <w:p w14:paraId="59560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四、自行监测</w:t>
      </w:r>
    </w:p>
    <w:p w14:paraId="445A0D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2025年，赤峰</w:t>
      </w:r>
      <w:r>
        <w:rPr>
          <w:rFonts w:hint="eastAsia" w:ascii="宋体" w:hAnsi="宋体" w:eastAsia="宋体" w:cstheme="minorBidi"/>
          <w:b w:val="0"/>
          <w:bCs w:val="0"/>
          <w:kern w:val="2"/>
          <w:sz w:val="32"/>
          <w:szCs w:val="32"/>
          <w:lang w:val="en-US" w:eastAsia="zh-CN" w:bidi="ar-SA"/>
        </w:rPr>
        <w:t>金帆再生资源开发</w:t>
      </w:r>
      <w:r>
        <w:rPr>
          <w:rFonts w:hint="eastAsia" w:ascii="宋体" w:hAnsi="宋体" w:eastAsia="宋体" w:cstheme="minorBidi"/>
          <w:b w:val="0"/>
          <w:bCs w:val="0"/>
          <w:kern w:val="2"/>
          <w:sz w:val="32"/>
          <w:szCs w:val="32"/>
          <w:lang w:val="en-US" w:eastAsia="zh-CN" w:bidi="ar-SA"/>
        </w:rPr>
        <w:t>有限公司委托赤峰环测检测有限公司对</w:t>
      </w:r>
      <w:r>
        <w:rPr>
          <w:rFonts w:hint="eastAsia" w:ascii="宋体" w:hAnsi="宋体" w:eastAsia="宋体" w:cstheme="minorBidi"/>
          <w:b w:val="0"/>
          <w:bCs w:val="0"/>
          <w:kern w:val="2"/>
          <w:sz w:val="32"/>
          <w:szCs w:val="32"/>
          <w:lang w:val="en-US" w:eastAsia="zh-CN" w:bidi="ar-SA"/>
        </w:rPr>
        <w:t>本</w:t>
      </w:r>
      <w:r>
        <w:rPr>
          <w:rFonts w:hint="eastAsia" w:ascii="宋体" w:hAnsi="宋体" w:eastAsia="宋体" w:cstheme="minorBidi"/>
          <w:b w:val="0"/>
          <w:bCs w:val="0"/>
          <w:kern w:val="2"/>
          <w:sz w:val="32"/>
          <w:szCs w:val="32"/>
          <w:lang w:val="en-US" w:eastAsia="zh-CN" w:bidi="ar-SA"/>
        </w:rPr>
        <w:t>厂区环境空气和废气及土壤、地下水、</w:t>
      </w:r>
      <w:r>
        <w:rPr>
          <w:rFonts w:hint="eastAsia" w:ascii="宋体" w:hAnsi="宋体" w:eastAsia="宋体" w:cstheme="minorBidi"/>
          <w:b w:val="0"/>
          <w:bCs w:val="0"/>
          <w:kern w:val="2"/>
          <w:sz w:val="32"/>
          <w:szCs w:val="32"/>
          <w:lang w:val="en-US" w:eastAsia="zh-CN" w:bidi="ar-SA"/>
        </w:rPr>
        <w:t>进行定期检测</w:t>
      </w:r>
      <w:r>
        <w:rPr>
          <w:rFonts w:hint="eastAsia" w:ascii="宋体" w:hAnsi="宋体" w:eastAsia="宋体" w:cstheme="minorBidi"/>
          <w:b w:val="0"/>
          <w:bCs w:val="0"/>
          <w:kern w:val="2"/>
          <w:sz w:val="32"/>
          <w:szCs w:val="32"/>
          <w:lang w:val="en-US" w:eastAsia="zh-CN" w:bidi="ar-SA"/>
        </w:rPr>
        <w:t>，检测频次环境空气和废气为每个月/次，土壤和地下水半年/次。根据赤峰环测检测有限公司出具的7-9月份及三季度</w:t>
      </w:r>
      <w:r>
        <w:rPr>
          <w:rFonts w:hint="eastAsia" w:ascii="宋体" w:hAnsi="宋体" w:eastAsia="宋体" w:cstheme="minorBidi"/>
          <w:b w:val="0"/>
          <w:bCs w:val="0"/>
          <w:kern w:val="2"/>
          <w:sz w:val="32"/>
          <w:szCs w:val="32"/>
          <w:lang w:val="en-US" w:eastAsia="zh-CN" w:bidi="ar-SA"/>
        </w:rPr>
        <w:t>检测报告，检测结果未有超标数据，各项污染物指标均符合相关环境标准。</w:t>
      </w:r>
    </w:p>
    <w:p w14:paraId="2E865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w:t>
      </w:r>
    </w:p>
    <w:p w14:paraId="35B34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赤峰金帆再生资源开发</w:t>
      </w:r>
      <w:r>
        <w:rPr>
          <w:rFonts w:hint="eastAsia" w:ascii="宋体" w:hAnsi="宋体" w:eastAsia="宋体" w:cstheme="minorBidi"/>
          <w:b w:val="0"/>
          <w:bCs w:val="0"/>
          <w:kern w:val="2"/>
          <w:sz w:val="32"/>
          <w:szCs w:val="32"/>
          <w:lang w:val="en-US" w:eastAsia="zh-CN" w:bidi="ar-SA"/>
        </w:rPr>
        <w:t>有限公司</w:t>
      </w:r>
      <w:bookmarkStart w:id="0" w:name="_GoBack"/>
      <w:bookmarkEnd w:id="0"/>
    </w:p>
    <w:p w14:paraId="0E30C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theme="minorBidi"/>
          <w:b w:val="0"/>
          <w:bCs w:val="0"/>
          <w:kern w:val="2"/>
          <w:sz w:val="32"/>
          <w:szCs w:val="32"/>
          <w:lang w:val="en-US" w:eastAsia="zh-CN" w:bidi="ar-SA"/>
        </w:rPr>
      </w:pPr>
      <w:r>
        <w:rPr>
          <w:rFonts w:hint="eastAsia" w:ascii="宋体" w:hAnsi="宋体" w:eastAsia="宋体" w:cstheme="minorBidi"/>
          <w:b w:val="0"/>
          <w:bCs w:val="0"/>
          <w:kern w:val="2"/>
          <w:sz w:val="32"/>
          <w:szCs w:val="32"/>
          <w:lang w:val="en-US" w:eastAsia="zh-CN" w:bidi="ar-SA"/>
        </w:rPr>
        <w:t>                            2025年10月10日</w:t>
      </w:r>
    </w:p>
    <w:p w14:paraId="1F4BD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7E491"/>
    <w:multiLevelType w:val="singleLevel"/>
    <w:tmpl w:val="A397E4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01F80"/>
    <w:rsid w:val="24EB0BA1"/>
    <w:rsid w:val="3AED5139"/>
    <w:rsid w:val="7C80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NormalCharacter"/>
    <w:semiHidde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2025-10-13T06:40:00Z</dcterms:created>
  <dc:creator>梦醒时见你</dc:creator>
  <cp:lastModifiedBy>梦醒时见你</cp:lastModifiedBy>
  <dcterms:modified xsi:type="dcterms:W3CDTF">2025-10-13T07:33:20Z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8E7D439D8A914B858892BA0DC59DF6D4_13</vt:lpwstr>
  </property>
  <property fmtid="{D5CDD505-2E9C-101B-9397-08002B2CF9AE}" pid="4" name="KSOTemplateDocerSaveRecord">
    <vt:lpwstr>eyJoZGlkIjoiMDRlOThlOWMwZjNmMWExYzk1NjVjZjEzMWNmZDViYjEiLCJ1c2VySWQiOiIxMjA4MDkzODEyIn0=</vt:lpwstr>
  </property>
</Properties>
</file>